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83677D" w:rsidRDefault="003074EB" w:rsidP="0083677D">
      <w:pPr>
        <w:spacing w:after="0" w:line="240" w:lineRule="auto"/>
        <w:rPr>
          <w:rFonts w:cstheme="minorHAnsi"/>
          <w:b/>
          <w:sz w:val="28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A9" w:rsidRDefault="004610A9" w:rsidP="00417ACB">
      <w:pPr>
        <w:spacing w:after="0" w:line="240" w:lineRule="auto"/>
      </w:pPr>
      <w:r>
        <w:separator/>
      </w:r>
    </w:p>
  </w:endnote>
  <w:endnote w:type="continuationSeparator" w:id="0">
    <w:p w:rsidR="004610A9" w:rsidRDefault="004610A9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A9" w:rsidRDefault="004610A9" w:rsidP="00417ACB">
      <w:pPr>
        <w:spacing w:after="0" w:line="240" w:lineRule="auto"/>
      </w:pPr>
      <w:r>
        <w:separator/>
      </w:r>
    </w:p>
  </w:footnote>
  <w:footnote w:type="continuationSeparator" w:id="0">
    <w:p w:rsidR="004610A9" w:rsidRDefault="004610A9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42BC2"/>
    <w:rsid w:val="00155079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610A9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677D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2023-04-13T10:41:00Z</dcterms:modified>
</cp:coreProperties>
</file>